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12"/>
          <w:szCs w:val="12"/>
          <w:rtl w:val="0"/>
        </w:rPr>
        <w:t xml:space="preserve">,</w:t>
      </w: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12 грудня  2023 року                     м. Сквира                          №47-42-VІІІ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передачу міжбюджетного трансферту</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bookmarkStart w:colFirst="0" w:colLast="0" w:name="_heading=h.30j0zll" w:id="0"/>
      <w:bookmarkEnd w:id="0"/>
      <w:r w:rsidDel="00000000" w:rsidR="00000000" w:rsidRPr="00000000">
        <w:rPr>
          <w:rFonts w:ascii="Times New Roman" w:cs="Times New Roman" w:eastAsia="Times New Roman" w:hAnsi="Times New Roman"/>
          <w:b w:val="1"/>
          <w:color w:val="000000"/>
          <w:sz w:val="28"/>
          <w:szCs w:val="28"/>
          <w:rtl w:val="0"/>
        </w:rPr>
        <w:t xml:space="preserve">з бюджету Сквирської міської </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територіальної громади у 2023 році</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93 Бюджетного кодексу України,  Законом України «Про місцеве самоврядування в Україні», враховуючи лист командира військової частини А1232 від 27.10.2023 року № 939/2/5/1108 та відповідно до регламенту Сквирської міської ради, враховуючи пропозиції постійних комісій, Сквирська міська рада VІІІ скликання</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Передати у 2023 році із загального фонду бюджету Сквирської міської територіальної громади міжбюджетний трансферт за КПКВК МБ 3719770 «Інші субвенції з місцевого бюджету» в сумі 300 000,00 (триста тисяч) гривень обласному бюджету Київської області на виконання заходів Обласної цільової програми оперативного та сталого забезпечення формувань, що забезпечують обороноздатність держави на території Київської області на 2023-2025 на придбання 6 комплектів терміналів супутникового зв’язку Starlink  та послуг з оплати і обслуговування цих терміналів терміном на 5 місяців для потреб військової частини А1232.</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Доручити міській голові укласти договір між Сквирською міською радою та Київською обласною військовою адміністрацією  (Київською обласною державною адміністрацією) </w:t>
      </w:r>
      <w:r w:rsidDel="00000000" w:rsidR="00000000" w:rsidRPr="00000000">
        <w:rPr>
          <w:rFonts w:ascii="Times New Roman" w:cs="Times New Roman" w:eastAsia="Times New Roman" w:hAnsi="Times New Roman"/>
          <w:sz w:val="28"/>
          <w:szCs w:val="28"/>
          <w:rtl w:val="0"/>
        </w:rPr>
        <w:t xml:space="preserve">про передачу іншої субвенції з місцевого бюджету обласному бюджету Київської області на реалізацію заходів, визначених у пункті 1.</w:t>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цього рішення покласти на постійні комісії Сквирської міської ради з питань планування бюджету та фінансів, соціально-економічного розвитку та з питань регламенту, депутатської етики, законності та правопорядку.</w:t>
      </w: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uXkamQpvvfTgGLuIQZwdMyjhjg==">CgMxLjAyCWguMzBqMHpsbDgAciExMEVBUXBNbWk1OUtpQ1dlZlQ3SE9oalRuamxyYnZZQlk=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